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1478"/>
        <w:gridCol w:w="284"/>
        <w:gridCol w:w="800"/>
        <w:gridCol w:w="2243"/>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7A145E">
              <w:rPr>
                <w:rFonts w:ascii="Arial" w:hAnsi="Arial" w:cs="Arial"/>
                <w:b/>
                <w:color w:val="0F243E" w:themeColor="text2" w:themeShade="80"/>
              </w:rPr>
              <w:t xml:space="preserve">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7A145E" w:rsidP="00CC21F3">
            <w:pPr>
              <w:rPr>
                <w:rFonts w:ascii="Arial" w:hAnsi="Arial" w:cs="Arial"/>
                <w:color w:val="0F243E" w:themeColor="text2" w:themeShade="80"/>
              </w:rPr>
            </w:pPr>
            <w:r>
              <w:rPr>
                <w:rFonts w:ascii="Arial" w:hAnsi="Arial" w:cs="Arial"/>
                <w:color w:val="0F243E" w:themeColor="text2" w:themeShade="80"/>
              </w:rPr>
              <w:t xml:space="preserve">Obligatorio </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7A145E" w:rsidRDefault="00010D09" w:rsidP="00C60373">
            <w:pPr>
              <w:rPr>
                <w:rFonts w:ascii="Arial" w:hAnsi="Arial" w:cs="Arial"/>
                <w:color w:val="0F243E" w:themeColor="text2" w:themeShade="80"/>
              </w:rPr>
            </w:pPr>
            <w:r>
              <w:rPr>
                <w:rFonts w:ascii="Arial" w:hAnsi="Arial" w:cs="Arial"/>
                <w:color w:val="0F243E" w:themeColor="text2" w:themeShade="80"/>
              </w:rPr>
              <w:t>ÁREA/MÓDULO</w:t>
            </w:r>
          </w:p>
          <w:p w:rsidR="00010D09" w:rsidRPr="002D3F0D" w:rsidRDefault="00010D09" w:rsidP="00C60373">
            <w:pPr>
              <w:rPr>
                <w:rFonts w:ascii="Arial" w:hAnsi="Arial" w:cs="Arial"/>
                <w:color w:val="0F243E" w:themeColor="text2" w:themeShade="80"/>
              </w:rPr>
            </w:pPr>
            <w:r>
              <w:rPr>
                <w:rFonts w:ascii="Arial" w:hAnsi="Arial" w:cs="Arial"/>
                <w:color w:val="0F243E" w:themeColor="text2" w:themeShade="80"/>
              </w:rPr>
              <w:t>ECONOMICAS Y ADMINISTRATIVAS</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7A145E">
              <w:rPr>
                <w:rFonts w:ascii="Arial" w:hAnsi="Arial" w:cs="Arial"/>
                <w:color w:val="0F243E" w:themeColor="text2" w:themeShade="80"/>
              </w:rPr>
              <w:t>: Quinto (5)</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7A145E">
              <w:rPr>
                <w:rFonts w:ascii="Arial" w:hAnsi="Arial" w:cs="Arial"/>
                <w:b/>
                <w:color w:val="0F243E" w:themeColor="text2" w:themeShade="80"/>
              </w:rPr>
              <w:t>Finanzas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7A145E">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7A145E">
              <w:rPr>
                <w:rFonts w:ascii="Arial" w:hAnsi="Arial" w:cs="Arial"/>
                <w:b/>
                <w:color w:val="0F243E" w:themeColor="text2" w:themeShade="80"/>
              </w:rPr>
              <w:t xml:space="preserve"> </w:t>
            </w:r>
            <w:r w:rsidR="007A145E">
              <w:rPr>
                <w:rFonts w:ascii="Arial" w:hAnsi="Arial" w:cs="Arial"/>
                <w:sz w:val="20"/>
              </w:rPr>
              <w:t>168001</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7A145E">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7A145E" w:rsidP="00CC21F3">
            <w:pPr>
              <w:rPr>
                <w:rFonts w:ascii="Arial" w:hAnsi="Arial" w:cs="Arial"/>
                <w:b/>
                <w:color w:val="0F243E" w:themeColor="text2" w:themeShade="80"/>
              </w:rPr>
            </w:pPr>
            <w:r>
              <w:rPr>
                <w:rFonts w:ascii="Arial" w:hAnsi="Arial" w:cs="Arial"/>
                <w:b/>
                <w:color w:val="0F243E" w:themeColor="text2" w:themeShade="80"/>
              </w:rPr>
              <w:t>02/02/2015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F02BE4" w:rsidRDefault="00F02BE4" w:rsidP="00CC21F3">
            <w:pPr>
              <w:rPr>
                <w:rFonts w:ascii="Arial" w:hAnsi="Arial" w:cs="Arial"/>
                <w:b/>
                <w:color w:val="0F243E" w:themeColor="text2" w:themeShade="80"/>
              </w:rPr>
            </w:pPr>
          </w:p>
          <w:p w:rsidR="00F02BE4" w:rsidRDefault="00F02BE4" w:rsidP="00F02BE4">
            <w:pPr>
              <w:rPr>
                <w:rFonts w:ascii="Arial" w:hAnsi="Arial" w:cs="Arial"/>
                <w:b/>
                <w:color w:val="0F243E" w:themeColor="text2" w:themeShade="80"/>
              </w:rPr>
            </w:pPr>
            <w:r>
              <w:rPr>
                <w:rFonts w:ascii="Arial" w:hAnsi="Arial" w:cs="Arial"/>
                <w:b/>
                <w:color w:val="0F243E" w:themeColor="text2" w:themeShade="80"/>
              </w:rPr>
              <w:t>05/08/2015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7A145E">
              <w:rPr>
                <w:rFonts w:ascii="Arial" w:hAnsi="Arial" w:cs="Arial"/>
                <w:color w:val="0F243E" w:themeColor="text2" w:themeShade="80"/>
              </w:rPr>
              <w:t>6</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7A145E">
              <w:rPr>
                <w:rFonts w:ascii="Arial" w:hAnsi="Arial" w:cs="Arial"/>
                <w:color w:val="0F243E" w:themeColor="text2" w:themeShade="80"/>
              </w:rPr>
              <w:t xml:space="preserve"> 24</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7A145E">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7A145E">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7A145E">
              <w:rPr>
                <w:rFonts w:ascii="Arial" w:hAnsi="Arial" w:cs="Arial"/>
                <w:color w:val="0F243E" w:themeColor="text2" w:themeShade="80"/>
              </w:rPr>
              <w:t>96</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B87E5E">
              <w:rPr>
                <w:rFonts w:ascii="Arial" w:hAnsi="Arial" w:cs="Arial"/>
                <w:color w:val="0F243E" w:themeColor="text2" w:themeShade="80"/>
              </w:rPr>
              <w:t xml:space="preserve"> 3</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B87E5E">
              <w:rPr>
                <w:rFonts w:ascii="Arial" w:hAnsi="Arial" w:cs="Arial"/>
                <w:color w:val="0F243E" w:themeColor="text2" w:themeShade="80"/>
              </w:rPr>
              <w:t xml:space="preserve"> 12</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B87E5E">
              <w:rPr>
                <w:rFonts w:ascii="Arial" w:hAnsi="Arial" w:cs="Arial"/>
                <w:color w:val="0F243E" w:themeColor="text2" w:themeShade="80"/>
              </w:rPr>
              <w:t xml:space="preserve"> 48</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7A145E">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9A0A9A">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9D3B04" w:rsidRDefault="008F7297" w:rsidP="008F7297">
            <w:pPr>
              <w:jc w:val="both"/>
              <w:rPr>
                <w:rFonts w:ascii="Arial" w:hAnsi="Arial" w:cs="Arial"/>
                <w:color w:val="0F243E" w:themeColor="text2" w:themeShade="80"/>
              </w:rPr>
            </w:pPr>
            <w:r>
              <w:rPr>
                <w:rFonts w:ascii="Arial" w:hAnsi="Arial" w:cs="Arial"/>
                <w:color w:val="0F243E" w:themeColor="text2" w:themeShade="80"/>
              </w:rPr>
              <w:t>El curso de finanzas internacionales permite al estudiante tomar decisiones basados en el conocimiento de las Finanzas Corporativas y la Economía Internacional.</w:t>
            </w:r>
          </w:p>
          <w:p w:rsidR="008F7297" w:rsidRDefault="008F7297" w:rsidP="008F7297">
            <w:pPr>
              <w:jc w:val="both"/>
              <w:rPr>
                <w:rFonts w:ascii="Arial" w:hAnsi="Arial" w:cs="Arial"/>
                <w:color w:val="0F243E" w:themeColor="text2" w:themeShade="80"/>
              </w:rPr>
            </w:pPr>
            <w:r>
              <w:rPr>
                <w:rFonts w:ascii="Arial" w:hAnsi="Arial" w:cs="Arial"/>
                <w:color w:val="0F243E" w:themeColor="text2" w:themeShade="80"/>
              </w:rPr>
              <w:t>Un Negociador Internacional necesita conocer el funcionamiento de los instrumentos financieros y de mercado internacional para tomar decisiones gerenciales referentes a temas de volatilidad y riesgo.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8F7297" w:rsidP="008F7297">
            <w:pPr>
              <w:jc w:val="both"/>
              <w:rPr>
                <w:rFonts w:ascii="Arial" w:hAnsi="Arial" w:cs="Arial"/>
                <w:color w:val="0F243E" w:themeColor="text2" w:themeShade="80"/>
              </w:rPr>
            </w:pPr>
            <w:r>
              <w:rPr>
                <w:rFonts w:ascii="Arial" w:hAnsi="Arial" w:cs="Arial"/>
                <w:color w:val="0F243E" w:themeColor="text2" w:themeShade="80"/>
              </w:rPr>
              <w:t xml:space="preserve">Entregar a los estudiantes herramientas conceptuales y analíticas indispensables para la comprensión del correcto funcionamiento de los mercados financieros globales. Siendo lo anterior base de la toma de decisiones sobre el entorno </w:t>
            </w:r>
            <w:r w:rsidR="00AA3BAE">
              <w:rPr>
                <w:rFonts w:ascii="Arial" w:hAnsi="Arial" w:cs="Arial"/>
                <w:color w:val="0F243E" w:themeColor="text2" w:themeShade="80"/>
              </w:rPr>
              <w:t>internacional de una empresa.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AA3BAE" w:rsidP="00DA67AC">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Comprender herramientas de la gestión financiera internacional, tales como temas cambiarios y mercados internacionales de capitales.</w:t>
            </w:r>
          </w:p>
          <w:p w:rsidR="009D3B04" w:rsidRDefault="00AA3BAE" w:rsidP="00DA67AC">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Conocer el impacto en las finanzas corporativas de las tasas de interés y el riesgo económico internacional.</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AA3BAE" w:rsidP="00DA67AC">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Insuficiencia de herramientas conceptuales y analíticas para la toma de decisiones referentes al impacto de los eventos financieros internacionales en una empresa.</w:t>
            </w:r>
          </w:p>
          <w:p w:rsidR="009D3B04" w:rsidRDefault="00AA3BAE" w:rsidP="00DA67AC">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 xml:space="preserve">Dificultad del Negociador Internacional para generar pronósticos que permitan anticiparse a </w:t>
            </w:r>
            <w:r w:rsidR="00637938">
              <w:rPr>
                <w:rFonts w:ascii="Arial" w:hAnsi="Arial" w:cs="Arial"/>
                <w:color w:val="0F243E" w:themeColor="text2" w:themeShade="80"/>
              </w:rPr>
              <w:t>eventos que afecten la empresa.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F24899" w:rsidRPr="00F24899" w:rsidRDefault="009D3B04" w:rsidP="00F24899">
            <w:pPr>
              <w:jc w:val="both"/>
              <w:rPr>
                <w:rFonts w:ascii="Arial" w:eastAsiaTheme="minorHAnsi" w:hAnsi="Arial" w:cs="Arial"/>
                <w:color w:val="0F243E" w:themeColor="text2" w:themeShade="80"/>
                <w:sz w:val="22"/>
                <w:szCs w:val="22"/>
                <w:lang w:val="es-CO" w:eastAsia="en-US"/>
              </w:rPr>
            </w:pPr>
            <w:r>
              <w:rPr>
                <w:rFonts w:ascii="Arial" w:hAnsi="Arial" w:cs="Arial"/>
                <w:b/>
                <w:color w:val="0F243E" w:themeColor="text2" w:themeShade="80"/>
              </w:rPr>
              <w:t xml:space="preserve">Competencias básicas: </w:t>
            </w:r>
            <w:r w:rsidR="00F75B39" w:rsidRPr="00F75B39">
              <w:rPr>
                <w:rFonts w:ascii="Arial" w:eastAsiaTheme="minorHAnsi" w:hAnsi="Arial" w:cs="Arial"/>
                <w:color w:val="0F243E" w:themeColor="text2" w:themeShade="80"/>
                <w:sz w:val="22"/>
                <w:szCs w:val="22"/>
                <w:lang w:val="es-CO" w:eastAsia="en-US"/>
              </w:rPr>
              <w:t>Gene</w:t>
            </w:r>
            <w:r w:rsidR="00F75B39">
              <w:rPr>
                <w:rFonts w:ascii="Arial" w:eastAsiaTheme="minorHAnsi" w:hAnsi="Arial" w:cs="Arial"/>
                <w:color w:val="0F243E" w:themeColor="text2" w:themeShade="80"/>
                <w:sz w:val="22"/>
                <w:szCs w:val="22"/>
                <w:lang w:val="es-CO" w:eastAsia="en-US"/>
              </w:rPr>
              <w:t xml:space="preserve">rar decisiones basado en herramientas matemáticas, pensamiento crítico, capacidad de investigación y solución de problemas. </w:t>
            </w:r>
          </w:p>
          <w:p w:rsidR="009D3B04" w:rsidRDefault="009D3B04" w:rsidP="00CC21F3">
            <w:pPr>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w:t>
            </w:r>
          </w:p>
          <w:p w:rsidR="009D3B04"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F75B39" w:rsidRDefault="009419DE"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Realiza conversiones, pronósticos y cálculos referentes a temas cambiarios.</w:t>
            </w:r>
          </w:p>
          <w:p w:rsidR="009419DE" w:rsidRDefault="00D70E88"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 xml:space="preserve">Opera mecanismos de financiación internacional de acuerdo a los requerimientos </w:t>
            </w:r>
            <w:r>
              <w:rPr>
                <w:rFonts w:ascii="Arial" w:hAnsi="Arial" w:cs="Arial"/>
                <w:color w:val="0F243E" w:themeColor="text2" w:themeShade="80"/>
              </w:rPr>
              <w:lastRenderedPageBreak/>
              <w:t>de la empresa.</w:t>
            </w:r>
          </w:p>
          <w:p w:rsidR="00D70E88" w:rsidRDefault="00D70E88"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Evalúa los requerimientos de inversión y presupuesto de capital internacional.</w:t>
            </w:r>
          </w:p>
          <w:p w:rsidR="00D70E88" w:rsidRPr="00F75B39" w:rsidRDefault="00D70E88"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Administra las medidas de riesgo cambiario.</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F24899" w:rsidRPr="00F24899">
              <w:rPr>
                <w:rFonts w:ascii="Arial" w:eastAsiaTheme="minorHAnsi" w:hAnsi="Arial" w:cs="Arial"/>
                <w:color w:val="0F243E" w:themeColor="text2" w:themeShade="80"/>
                <w:sz w:val="22"/>
                <w:szCs w:val="22"/>
                <w:lang w:val="es-CO" w:eastAsia="en-US"/>
              </w:rPr>
              <w:t>Analiza los requerimientos financieros internacionales asociados al comercio exterior con el propósito de maximizar los beneficios en la toma de decisiones en los negocios internacionales.</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D70E88" w:rsidP="007359FE">
            <w:pPr>
              <w:jc w:val="both"/>
              <w:rPr>
                <w:rFonts w:ascii="Arial" w:hAnsi="Arial" w:cs="Arial"/>
                <w:color w:val="0F243E" w:themeColor="text2" w:themeShade="80"/>
              </w:rPr>
            </w:pPr>
            <w:r>
              <w:rPr>
                <w:rFonts w:ascii="Arial" w:hAnsi="Arial"/>
              </w:rPr>
              <w:t>Matemáticas, Estadística, Economía, Administración, Comercio exterior, Derecho.</w:t>
            </w: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D70E88" w:rsidP="005307D9">
            <w:pPr>
              <w:rPr>
                <w:rFonts w:ascii="Arial" w:hAnsi="Arial" w:cs="Arial"/>
                <w:color w:val="0F243E" w:themeColor="text2" w:themeShade="80"/>
              </w:rPr>
            </w:pPr>
            <w:r>
              <w:rPr>
                <w:rFonts w:ascii="Arial" w:hAnsi="Arial" w:cs="Arial"/>
                <w:color w:val="0F243E" w:themeColor="text2" w:themeShade="80"/>
              </w:rPr>
              <w:t>1. Los tipos de cambio y el mercado de divisa</w:t>
            </w:r>
            <w:r w:rsidR="00401CA4">
              <w:rPr>
                <w:rFonts w:ascii="Arial" w:hAnsi="Arial" w:cs="Arial"/>
                <w:color w:val="0F243E" w:themeColor="text2" w:themeShade="80"/>
              </w:rPr>
              <w:t>s</w:t>
            </w:r>
          </w:p>
          <w:p w:rsidR="00D70E88"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Tipos de cambio</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Devaluaciones y Revaluaciones</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Tasas de interés</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El Mercado de divisas</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Condiciones de paridad</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 xml:space="preserve">Pronósticos de los tipos de cambio </w:t>
            </w:r>
          </w:p>
          <w:p w:rsidR="00401CA4" w:rsidRDefault="00401CA4"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Arbitraje</w:t>
            </w:r>
          </w:p>
          <w:p w:rsidR="00401CA4" w:rsidRPr="00401CA4" w:rsidRDefault="00401CA4" w:rsidP="00401CA4">
            <w:pPr>
              <w:rPr>
                <w:rFonts w:ascii="Arial" w:hAnsi="Arial" w:cs="Arial"/>
                <w:color w:val="0F243E" w:themeColor="text2" w:themeShade="80"/>
              </w:rPr>
            </w:pPr>
            <w:r>
              <w:rPr>
                <w:rFonts w:ascii="Arial" w:hAnsi="Arial" w:cs="Arial"/>
                <w:color w:val="0F243E" w:themeColor="text2" w:themeShade="80"/>
              </w:rPr>
              <w:t>2. Mercados internacionales de dinero y capital</w:t>
            </w:r>
          </w:p>
          <w:p w:rsidR="00D70E88" w:rsidRDefault="00401CA4"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Mercado Internacional de Dinero</w:t>
            </w:r>
          </w:p>
          <w:p w:rsidR="00401CA4" w:rsidRDefault="00401CA4"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Mercado Internacional de Acciones</w:t>
            </w:r>
          </w:p>
          <w:p w:rsidR="00401CA4" w:rsidRDefault="00401CA4"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Mercado Internacional de Bonos</w:t>
            </w:r>
          </w:p>
          <w:p w:rsidR="00401CA4" w:rsidRDefault="00401CA4" w:rsidP="00401CA4">
            <w:pPr>
              <w:rPr>
                <w:rFonts w:ascii="Arial" w:hAnsi="Arial" w:cs="Arial"/>
                <w:color w:val="0F243E" w:themeColor="text2" w:themeShade="80"/>
              </w:rPr>
            </w:pPr>
            <w:r>
              <w:rPr>
                <w:rFonts w:ascii="Arial" w:hAnsi="Arial" w:cs="Arial"/>
                <w:color w:val="0F243E" w:themeColor="text2" w:themeShade="80"/>
              </w:rPr>
              <w:t>3. Instrumentos derivados</w:t>
            </w:r>
          </w:p>
          <w:p w:rsidR="00401CA4" w:rsidRDefault="00401CA4" w:rsidP="00DA67AC">
            <w:pPr>
              <w:pStyle w:val="Prrafodelista"/>
              <w:numPr>
                <w:ilvl w:val="0"/>
                <w:numId w:val="6"/>
              </w:numPr>
              <w:rPr>
                <w:rFonts w:ascii="Arial" w:hAnsi="Arial" w:cs="Arial"/>
                <w:color w:val="0F243E" w:themeColor="text2" w:themeShade="80"/>
              </w:rPr>
            </w:pPr>
            <w:r w:rsidRPr="00401CA4">
              <w:rPr>
                <w:rFonts w:ascii="Arial" w:hAnsi="Arial" w:cs="Arial"/>
                <w:color w:val="0F243E" w:themeColor="text2" w:themeShade="80"/>
              </w:rPr>
              <w:t>Contratos tipo Forward y de Futuros</w:t>
            </w:r>
          </w:p>
          <w:p w:rsidR="00401CA4" w:rsidRDefault="00401CA4"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Opciones</w:t>
            </w:r>
          </w:p>
          <w:p w:rsidR="00401CA4" w:rsidRDefault="00401CA4"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Swaps</w:t>
            </w:r>
          </w:p>
          <w:p w:rsidR="00401CA4" w:rsidRDefault="00401CA4" w:rsidP="00401CA4">
            <w:pPr>
              <w:rPr>
                <w:rFonts w:ascii="Arial" w:hAnsi="Arial" w:cs="Arial"/>
                <w:color w:val="0F243E" w:themeColor="text2" w:themeShade="80"/>
              </w:rPr>
            </w:pPr>
            <w:r>
              <w:rPr>
                <w:rFonts w:ascii="Arial" w:hAnsi="Arial" w:cs="Arial"/>
                <w:color w:val="0F243E" w:themeColor="text2" w:themeShade="80"/>
              </w:rPr>
              <w:t>4. Administración del Riesgo Cambiario</w:t>
            </w:r>
          </w:p>
          <w:p w:rsidR="00D52CC4" w:rsidRDefault="00D52CC4"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Exposición y Administración</w:t>
            </w:r>
          </w:p>
          <w:p w:rsidR="00D52CC4" w:rsidRPr="00D52CC4" w:rsidRDefault="00D52CC4"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Mecanismos de cobertura</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lastRenderedPageBreak/>
              <w:t>TEORÍAS Y CONCEPTOS</w:t>
            </w:r>
            <w:r w:rsidRPr="006D5D86">
              <w:rPr>
                <w:rFonts w:ascii="Arial" w:hAnsi="Arial" w:cs="Arial"/>
                <w:b/>
                <w:color w:val="FFFFFF" w:themeColor="background1"/>
              </w:rPr>
              <w:t>:</w:t>
            </w:r>
          </w:p>
        </w:tc>
      </w:tr>
      <w:tr w:rsidR="005307D9" w:rsidTr="00E525ED">
        <w:tc>
          <w:tcPr>
            <w:tcW w:w="9740" w:type="dxa"/>
          </w:tcPr>
          <w:p w:rsidR="005307D9" w:rsidRDefault="00EA6EC3" w:rsidP="00163E32">
            <w:pPr>
              <w:jc w:val="both"/>
              <w:rPr>
                <w:rFonts w:ascii="Arial" w:hAnsi="Arial" w:cs="Arial"/>
                <w:color w:val="0F243E" w:themeColor="text2" w:themeShade="80"/>
              </w:rPr>
            </w:pPr>
            <w:r>
              <w:rPr>
                <w:rFonts w:ascii="Arial" w:hAnsi="Arial" w:cs="Arial"/>
                <w:color w:val="0F243E" w:themeColor="text2" w:themeShade="80"/>
              </w:rPr>
              <w:t xml:space="preserve">Economía abierta, Macroeconomía,  Finanzas Corporativas, Economía  </w:t>
            </w:r>
            <w:r w:rsidR="00163E32">
              <w:rPr>
                <w:rFonts w:ascii="Arial" w:hAnsi="Arial" w:cs="Arial"/>
                <w:color w:val="0F243E" w:themeColor="text2" w:themeShade="80"/>
              </w:rPr>
              <w:t>Internacional, Mercados Globales, Administración de riesgo cambiario, Ingeniería Financiera.</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163E32" w:rsidRP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El proceso de apropiación del conocimiento se desarrolla integrando al estudiante mediante la participación en plenarias, exposiciones y trabajos de investigación, frente al trabajo del docente en clases magistrales, desarrollo de talleres y </w:t>
            </w:r>
            <w:r w:rsidR="007359FE">
              <w:rPr>
                <w:rFonts w:ascii="Arial" w:hAnsi="Arial" w:cs="Arial"/>
                <w:color w:val="0F243E" w:themeColor="text2" w:themeShade="80"/>
              </w:rPr>
              <w:t>prob</w:t>
            </w:r>
            <w:r w:rsidR="00776793">
              <w:rPr>
                <w:rFonts w:ascii="Arial" w:hAnsi="Arial" w:cs="Arial"/>
                <w:color w:val="0F243E" w:themeColor="text2" w:themeShade="80"/>
              </w:rPr>
              <w:t>l</w:t>
            </w:r>
            <w:r w:rsidR="007359FE">
              <w:rPr>
                <w:rFonts w:ascii="Arial" w:hAnsi="Arial" w:cs="Arial"/>
                <w:color w:val="0F243E" w:themeColor="text2" w:themeShade="80"/>
              </w:rPr>
              <w:t>e</w:t>
            </w:r>
            <w:r w:rsidR="00776793">
              <w:rPr>
                <w:rFonts w:ascii="Arial" w:hAnsi="Arial" w:cs="Arial"/>
                <w:color w:val="0F243E" w:themeColor="text2" w:themeShade="80"/>
              </w:rPr>
              <w:t>mas</w:t>
            </w:r>
            <w:r w:rsidRPr="00163E32">
              <w:rPr>
                <w:rFonts w:ascii="Arial" w:hAnsi="Arial" w:cs="Arial"/>
                <w:color w:val="0F243E" w:themeColor="text2" w:themeShade="80"/>
              </w:rPr>
              <w:t xml:space="preserve"> donde se de aplicación a los conocimientos que se están adquiriendo.</w:t>
            </w:r>
          </w:p>
          <w:p w:rsidR="00776793" w:rsidRDefault="00776793"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Aprendizaje activo</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El programa cuenta con un método de enseñanza interactivo y dinámico adecuado para la formación de directivos: el método del caso. </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El caso es una descripción real de una situación empresarial. Se espera que el participante realice un análisis de la situación y defina los problemas que en ella observa. A partir del análisis, debe proponer distintas líneas de acción, escoger aquella que le parece más oportuna y, lo que es más importante, diseñar un plan realista para su puesta en práctica.</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Durante el programa se divide a los participantes en equipos reducidos, en los cuales contrastan sus conclusiones con las de los otros miembros de su equipo: se consigue así un enriquecimiento con aportaciones y experiencias muy distintas, como consecuencia de la variedad de empresas y sectores representados en el equipo.</w:t>
            </w:r>
          </w:p>
          <w:p w:rsidR="00163E32" w:rsidRPr="00163E32" w:rsidRDefault="00163E32" w:rsidP="00163E32">
            <w:pPr>
              <w:jc w:val="both"/>
              <w:rPr>
                <w:rFonts w:ascii="Arial" w:hAnsi="Arial" w:cs="Arial"/>
                <w:color w:val="0F243E" w:themeColor="text2" w:themeShade="80"/>
              </w:rPr>
            </w:pPr>
          </w:p>
          <w:p w:rsidR="00163E32" w:rsidRP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Finalmente tiene lugar la sesión general, dirigida por el profesor que cuida de que la discusión de los problemas, de las soluciones propuestas y de las consecuencias de su puesta en práctica se lleve con orden y rigor metodológico.</w:t>
            </w:r>
            <w:r w:rsidRPr="00163E32">
              <w:rPr>
                <w:rFonts w:ascii="Arial" w:hAnsi="Arial" w:cs="Arial"/>
                <w:color w:val="0F243E" w:themeColor="text2" w:themeShade="80"/>
              </w:rPr>
              <w:br/>
            </w:r>
            <w:r w:rsidRPr="00163E32">
              <w:rPr>
                <w:rFonts w:ascii="Arial" w:hAnsi="Arial" w:cs="Arial"/>
                <w:color w:val="0F243E" w:themeColor="text2" w:themeShade="80"/>
              </w:rPr>
              <w:br/>
              <w:t>El método del caso se complementa con la aplicación de las técnicas, herramientas tecnológicas y modelos de dirección más actuales.</w:t>
            </w: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Lectura: Interpretación y análisis de temas programados, al igual que búsqueda de notas de actualidad relacionadas con economía, finanzas o políticas del sector. Lectura diaria de un periódico nacional con enfoque económico y de artículos seleccionados de periódicos extranjeros.</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Talleres en Aula: Ejercicios de lectura, análisis, síntesis y discusión para determinar conjuntamente la validez de teorías y doctrinas dentro de un contexto histórico y espacial, así como la aplicación de herramientas didácticas para la </w:t>
            </w:r>
            <w:r w:rsidRPr="00163E32">
              <w:rPr>
                <w:rFonts w:ascii="Arial" w:hAnsi="Arial" w:cs="Arial"/>
                <w:color w:val="0F243E" w:themeColor="text2" w:themeShade="80"/>
              </w:rPr>
              <w:lastRenderedPageBreak/>
              <w:t>comprensión y el mejor aprovechamiento del tiempo.</w:t>
            </w:r>
          </w:p>
          <w:p w:rsidR="00163E32" w:rsidRPr="00163E32" w:rsidRDefault="00163E32" w:rsidP="00163E32">
            <w:pPr>
              <w:jc w:val="both"/>
              <w:rPr>
                <w:rFonts w:ascii="Arial" w:hAnsi="Arial" w:cs="Arial"/>
                <w:color w:val="0F243E" w:themeColor="text2" w:themeShade="80"/>
              </w:rPr>
            </w:pPr>
          </w:p>
          <w:p w:rsidR="009D3B04"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Acción y participación: Se convoca al estudiante a conformar equipos de trabajo o la acción individual por el tema de interés común; De esta manera el estudiante podrá durante el desarrollo del programa,  apropiarse del conocimiento significativo  o, desde una posición crítica que empieza a desarrollar,  argumentar sus opiniones.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776793" w:rsidRPr="00776793" w:rsidRDefault="00776793" w:rsidP="00776793">
            <w:pPr>
              <w:jc w:val="both"/>
              <w:rPr>
                <w:rFonts w:ascii="Arial" w:hAnsi="Arial" w:cs="Arial"/>
                <w:color w:val="0F243E" w:themeColor="text2" w:themeShade="80"/>
              </w:rPr>
            </w:pPr>
            <w:r>
              <w:rPr>
                <w:rFonts w:ascii="Arial" w:hAnsi="Arial" w:cs="Arial"/>
                <w:color w:val="0F243E" w:themeColor="text2" w:themeShade="80"/>
              </w:rPr>
              <w:t xml:space="preserve">40% </w:t>
            </w:r>
            <w:r w:rsidRPr="00776793">
              <w:rPr>
                <w:rFonts w:ascii="Arial" w:hAnsi="Arial" w:cs="Arial"/>
                <w:color w:val="0F243E" w:themeColor="text2" w:themeShade="80"/>
              </w:rPr>
              <w:t>Control de lecturas, trabajos de investigación, pruebas escritas, ejercicios prácticos.</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Previos sobre contenido visto en clase.</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proofErr w:type="spellStart"/>
            <w:r w:rsidRPr="00776793">
              <w:rPr>
                <w:rFonts w:ascii="Arial" w:eastAsia="Times New Roman" w:hAnsi="Arial" w:cs="Arial"/>
                <w:color w:val="0F243E" w:themeColor="text2" w:themeShade="80"/>
                <w:sz w:val="24"/>
                <w:szCs w:val="24"/>
                <w:lang w:val="es-ES" w:eastAsia="es-ES"/>
              </w:rPr>
              <w:t>Quices</w:t>
            </w:r>
            <w:proofErr w:type="spellEnd"/>
            <w:r w:rsidRPr="00776793">
              <w:rPr>
                <w:rFonts w:ascii="Arial" w:eastAsia="Times New Roman" w:hAnsi="Arial" w:cs="Arial"/>
                <w:color w:val="0F243E" w:themeColor="text2" w:themeShade="80"/>
                <w:sz w:val="24"/>
                <w:szCs w:val="24"/>
                <w:lang w:val="es-ES" w:eastAsia="es-ES"/>
              </w:rPr>
              <w:t xml:space="preserve"> sobre contenidos vistos en clase.</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Talleres para desarrollar en la clase y en  casa.</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Investigación – trabajo – sustentación.</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Evaluación sobre lecturas complementarias.</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Dinámica participativa durante la clase.</w:t>
            </w:r>
          </w:p>
          <w:p w:rsidR="00776793" w:rsidRPr="00776793" w:rsidRDefault="00776793" w:rsidP="00DA67AC">
            <w:pPr>
              <w:numPr>
                <w:ilvl w:val="0"/>
                <w:numId w:val="8"/>
              </w:numPr>
              <w:ind w:left="360"/>
              <w:rPr>
                <w:rFonts w:ascii="Arial" w:hAnsi="Arial" w:cs="Arial"/>
                <w:color w:val="0F243E" w:themeColor="text2" w:themeShade="80"/>
              </w:rPr>
            </w:pPr>
            <w:r w:rsidRPr="00776793">
              <w:rPr>
                <w:rFonts w:ascii="Arial" w:hAnsi="Arial" w:cs="Arial"/>
                <w:color w:val="0F243E" w:themeColor="text2" w:themeShade="80"/>
              </w:rPr>
              <w:t>Asistencia</w:t>
            </w:r>
          </w:p>
          <w:p w:rsidR="009D3B04" w:rsidRDefault="009D3B04" w:rsidP="00CC21F3">
            <w:pPr>
              <w:rPr>
                <w:rFonts w:ascii="Arial" w:hAnsi="Arial" w:cs="Arial"/>
                <w:color w:val="0F243E" w:themeColor="text2" w:themeShade="80"/>
              </w:rPr>
            </w:pPr>
          </w:p>
          <w:p w:rsidR="00776793" w:rsidRDefault="00776793" w:rsidP="00CC21F3">
            <w:pPr>
              <w:rPr>
                <w:rFonts w:ascii="Arial" w:hAnsi="Arial" w:cs="Arial"/>
                <w:color w:val="0F243E" w:themeColor="text2" w:themeShade="80"/>
              </w:rPr>
            </w:pPr>
            <w:r>
              <w:rPr>
                <w:rFonts w:ascii="Arial" w:hAnsi="Arial" w:cs="Arial"/>
                <w:color w:val="0F243E" w:themeColor="text2" w:themeShade="80"/>
              </w:rPr>
              <w:t>60 % Examen Parcial de cada corte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776793" w:rsidRPr="00776793" w:rsidRDefault="00776793" w:rsidP="00DA67AC">
            <w:pPr>
              <w:pStyle w:val="Sinespaciado"/>
              <w:numPr>
                <w:ilvl w:val="0"/>
                <w:numId w:val="9"/>
              </w:numPr>
              <w:ind w:left="357" w:hanging="357"/>
              <w:rPr>
                <w:rFonts w:ascii="Arial" w:hAnsi="Arial" w:cs="Arial"/>
                <w:sz w:val="24"/>
                <w:szCs w:val="24"/>
              </w:rPr>
            </w:pPr>
            <w:r w:rsidRPr="00776793">
              <w:rPr>
                <w:rFonts w:ascii="Arial" w:hAnsi="Arial" w:cs="Arial"/>
                <w:sz w:val="24"/>
                <w:szCs w:val="24"/>
              </w:rPr>
              <w:t xml:space="preserve">KOZIKOWSKI, Zbigniew. Finanzas Internacionales. McGraw Hill, </w:t>
            </w:r>
            <w:r>
              <w:rPr>
                <w:rFonts w:ascii="Arial" w:hAnsi="Arial" w:cs="Arial"/>
                <w:sz w:val="24"/>
                <w:szCs w:val="24"/>
              </w:rPr>
              <w:t>3</w:t>
            </w:r>
            <w:r w:rsidRPr="00776793">
              <w:rPr>
                <w:rFonts w:ascii="Arial" w:hAnsi="Arial" w:cs="Arial"/>
                <w:sz w:val="24"/>
                <w:szCs w:val="24"/>
              </w:rPr>
              <w:t xml:space="preserve">ª. Edición  </w:t>
            </w:r>
            <w:r>
              <w:rPr>
                <w:rFonts w:ascii="Arial" w:hAnsi="Arial" w:cs="Arial"/>
                <w:sz w:val="24"/>
                <w:szCs w:val="24"/>
              </w:rPr>
              <w:t>2013</w:t>
            </w:r>
            <w:r w:rsidRPr="00776793">
              <w:rPr>
                <w:rFonts w:ascii="Arial" w:hAnsi="Arial" w:cs="Arial"/>
                <w:sz w:val="24"/>
                <w:szCs w:val="24"/>
              </w:rPr>
              <w:t xml:space="preserve">. </w:t>
            </w:r>
          </w:p>
          <w:p w:rsidR="00776793" w:rsidRPr="00776793" w:rsidRDefault="00776793" w:rsidP="00DA67AC">
            <w:pPr>
              <w:pStyle w:val="Sinespaciado"/>
              <w:numPr>
                <w:ilvl w:val="0"/>
                <w:numId w:val="10"/>
              </w:numPr>
              <w:tabs>
                <w:tab w:val="left" w:pos="426"/>
              </w:tabs>
              <w:ind w:left="357" w:hanging="357"/>
              <w:rPr>
                <w:rFonts w:ascii="Arial" w:hAnsi="Arial" w:cs="Arial"/>
                <w:sz w:val="24"/>
                <w:szCs w:val="24"/>
              </w:rPr>
            </w:pPr>
            <w:r>
              <w:rPr>
                <w:rFonts w:ascii="Arial" w:hAnsi="Arial" w:cs="Arial"/>
                <w:sz w:val="24"/>
                <w:szCs w:val="24"/>
              </w:rPr>
              <w:t xml:space="preserve">NEFTCI </w:t>
            </w:r>
            <w:r w:rsidRPr="00776793">
              <w:rPr>
                <w:rFonts w:ascii="Arial" w:hAnsi="Arial" w:cs="Arial"/>
                <w:sz w:val="24"/>
                <w:szCs w:val="24"/>
              </w:rPr>
              <w:t xml:space="preserve"> </w:t>
            </w:r>
            <w:r>
              <w:rPr>
                <w:rFonts w:ascii="Arial" w:hAnsi="Arial" w:cs="Arial"/>
                <w:sz w:val="24"/>
                <w:szCs w:val="24"/>
              </w:rPr>
              <w:t>Salih N.</w:t>
            </w:r>
            <w:r w:rsidRPr="00776793">
              <w:rPr>
                <w:rFonts w:ascii="Arial" w:hAnsi="Arial" w:cs="Arial"/>
                <w:sz w:val="24"/>
                <w:szCs w:val="24"/>
              </w:rPr>
              <w:t xml:space="preserve"> </w:t>
            </w:r>
            <w:r>
              <w:rPr>
                <w:rFonts w:ascii="Arial" w:hAnsi="Arial" w:cs="Arial"/>
                <w:sz w:val="24"/>
                <w:szCs w:val="24"/>
              </w:rPr>
              <w:t>Ingeniería Financiera</w:t>
            </w:r>
            <w:r w:rsidRPr="00776793">
              <w:rPr>
                <w:rFonts w:ascii="Arial" w:hAnsi="Arial" w:cs="Arial"/>
                <w:sz w:val="24"/>
                <w:szCs w:val="24"/>
              </w:rPr>
              <w:t xml:space="preserve">. </w:t>
            </w:r>
            <w:r>
              <w:rPr>
                <w:rFonts w:ascii="Arial" w:hAnsi="Arial" w:cs="Arial"/>
                <w:sz w:val="24"/>
                <w:szCs w:val="24"/>
              </w:rPr>
              <w:t>1</w:t>
            </w:r>
            <w:r w:rsidR="00B202FE">
              <w:rPr>
                <w:rFonts w:ascii="Arial" w:hAnsi="Arial" w:cs="Arial"/>
                <w:sz w:val="24"/>
                <w:szCs w:val="24"/>
              </w:rPr>
              <w:t>ª. edición, McGraw Hill, Mé</w:t>
            </w:r>
            <w:r w:rsidRPr="00776793">
              <w:rPr>
                <w:rFonts w:ascii="Arial" w:hAnsi="Arial" w:cs="Arial"/>
                <w:sz w:val="24"/>
                <w:szCs w:val="24"/>
              </w:rPr>
              <w:t>xico, 200</w:t>
            </w:r>
            <w:r>
              <w:rPr>
                <w:rFonts w:ascii="Arial" w:hAnsi="Arial" w:cs="Arial"/>
                <w:sz w:val="24"/>
                <w:szCs w:val="24"/>
              </w:rPr>
              <w:t>8</w:t>
            </w:r>
            <w:r w:rsidRPr="00776793">
              <w:rPr>
                <w:rFonts w:ascii="Arial" w:hAnsi="Arial" w:cs="Arial"/>
                <w:sz w:val="24"/>
                <w:szCs w:val="24"/>
              </w:rPr>
              <w:t xml:space="preserve">. </w:t>
            </w:r>
          </w:p>
          <w:p w:rsidR="00776793" w:rsidRPr="00776793" w:rsidRDefault="00447FEA" w:rsidP="00DA67AC">
            <w:pPr>
              <w:numPr>
                <w:ilvl w:val="0"/>
                <w:numId w:val="10"/>
              </w:numPr>
              <w:tabs>
                <w:tab w:val="left" w:pos="426"/>
              </w:tabs>
              <w:spacing w:before="100" w:beforeAutospacing="1" w:after="100" w:afterAutospacing="1"/>
              <w:rPr>
                <w:rFonts w:ascii="Arial" w:hAnsi="Arial" w:cs="Arial"/>
              </w:rPr>
            </w:pPr>
            <w:r>
              <w:rPr>
                <w:rFonts w:ascii="Arial" w:hAnsi="Arial" w:cs="Arial"/>
              </w:rPr>
              <w:t>MOLINA RUIZ Luis Diego</w:t>
            </w:r>
            <w:r w:rsidR="00776793" w:rsidRPr="00776793">
              <w:rPr>
                <w:rFonts w:ascii="Arial" w:hAnsi="Arial" w:cs="Arial"/>
              </w:rPr>
              <w:t xml:space="preserve">. </w:t>
            </w:r>
            <w:r>
              <w:rPr>
                <w:rFonts w:ascii="Arial" w:hAnsi="Arial" w:cs="Arial"/>
              </w:rPr>
              <w:t>F</w:t>
            </w:r>
            <w:r w:rsidR="00776793" w:rsidRPr="00776793">
              <w:rPr>
                <w:rFonts w:ascii="Arial" w:hAnsi="Arial" w:cs="Arial"/>
              </w:rPr>
              <w:t xml:space="preserve">inanzas </w:t>
            </w:r>
            <w:r>
              <w:rPr>
                <w:rFonts w:ascii="Arial" w:hAnsi="Arial" w:cs="Arial"/>
              </w:rPr>
              <w:t>Internacionales</w:t>
            </w:r>
            <w:r w:rsidR="00776793" w:rsidRPr="00776793">
              <w:rPr>
                <w:rFonts w:ascii="Arial" w:hAnsi="Arial" w:cs="Arial"/>
              </w:rPr>
              <w:t xml:space="preserve">. </w:t>
            </w:r>
            <w:r>
              <w:rPr>
                <w:rFonts w:ascii="Arial" w:hAnsi="Arial" w:cs="Arial"/>
              </w:rPr>
              <w:t>UNED</w:t>
            </w:r>
            <w:r w:rsidR="00776793" w:rsidRPr="00776793">
              <w:rPr>
                <w:rFonts w:ascii="Arial" w:hAnsi="Arial" w:cs="Arial"/>
              </w:rPr>
              <w:t>.</w:t>
            </w:r>
            <w:r>
              <w:rPr>
                <w:rFonts w:ascii="Arial" w:hAnsi="Arial" w:cs="Arial"/>
              </w:rPr>
              <w:t xml:space="preserve"> Madrid España.</w:t>
            </w:r>
            <w:r w:rsidR="00776793" w:rsidRPr="00776793">
              <w:rPr>
                <w:rFonts w:ascii="Arial" w:hAnsi="Arial" w:cs="Arial"/>
              </w:rPr>
              <w:t xml:space="preserve"> </w:t>
            </w:r>
          </w:p>
          <w:p w:rsidR="00776793" w:rsidRPr="00776793" w:rsidRDefault="00431C34" w:rsidP="00DA67AC">
            <w:pPr>
              <w:numPr>
                <w:ilvl w:val="0"/>
                <w:numId w:val="10"/>
              </w:numPr>
              <w:tabs>
                <w:tab w:val="left" w:pos="426"/>
              </w:tabs>
              <w:spacing w:before="100" w:beforeAutospacing="1" w:after="100" w:afterAutospacing="1"/>
              <w:rPr>
                <w:rFonts w:ascii="Arial" w:hAnsi="Arial" w:cs="Arial"/>
              </w:rPr>
            </w:pPr>
            <w:r>
              <w:rPr>
                <w:rFonts w:ascii="Arial" w:hAnsi="Arial" w:cs="Arial"/>
              </w:rPr>
              <w:t>INVERSION</w:t>
            </w:r>
            <w:r w:rsidR="00776793" w:rsidRPr="00776793">
              <w:rPr>
                <w:rFonts w:ascii="Arial" w:hAnsi="Arial" w:cs="Arial"/>
              </w:rPr>
              <w:t xml:space="preserve">. </w:t>
            </w:r>
            <w:r>
              <w:rPr>
                <w:rFonts w:ascii="Arial" w:hAnsi="Arial" w:cs="Arial"/>
              </w:rPr>
              <w:t>Manual de Opciones y Futuros</w:t>
            </w:r>
            <w:r w:rsidR="00776793" w:rsidRPr="00776793">
              <w:rPr>
                <w:rFonts w:ascii="Arial" w:hAnsi="Arial" w:cs="Arial"/>
              </w:rPr>
              <w:t xml:space="preserve">. </w:t>
            </w:r>
            <w:r>
              <w:rPr>
                <w:rFonts w:ascii="Arial" w:hAnsi="Arial" w:cs="Arial"/>
              </w:rPr>
              <w:t>2</w:t>
            </w:r>
            <w:r w:rsidR="00776793" w:rsidRPr="00776793">
              <w:rPr>
                <w:rFonts w:ascii="Arial" w:hAnsi="Arial" w:cs="Arial"/>
              </w:rPr>
              <w:t>ª. edición.</w:t>
            </w:r>
            <w:r>
              <w:rPr>
                <w:rFonts w:ascii="Arial" w:hAnsi="Arial" w:cs="Arial"/>
              </w:rPr>
              <w:t xml:space="preserve"> Madrid España</w:t>
            </w:r>
            <w:r w:rsidR="00776793" w:rsidRPr="00776793">
              <w:rPr>
                <w:rFonts w:ascii="Arial" w:hAnsi="Arial" w:cs="Arial"/>
              </w:rPr>
              <w:t xml:space="preserve">.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5F16E5" w:rsidP="005F16E5">
            <w:pPr>
              <w:pStyle w:val="Sinespaciado"/>
              <w:rPr>
                <w:rFonts w:ascii="Arial" w:hAnsi="Arial" w:cs="Arial"/>
                <w:b/>
                <w:color w:val="0F243E" w:themeColor="text2" w:themeShade="80"/>
              </w:rPr>
            </w:pPr>
            <w:r w:rsidRPr="005F16E5">
              <w:rPr>
                <w:rFonts w:ascii="Arial" w:eastAsia="Times New Roman" w:hAnsi="Arial" w:cs="Arial"/>
                <w:color w:val="0F243E" w:themeColor="text2" w:themeShade="80"/>
                <w:sz w:val="24"/>
                <w:szCs w:val="24"/>
                <w:lang w:val="es-ES" w:eastAsia="es-ES"/>
              </w:rPr>
              <w:t>Tablero, proyector, ambiente de formación</w:t>
            </w:r>
            <w:r>
              <w:rPr>
                <w:rFonts w:ascii="Arial" w:eastAsia="Times New Roman" w:hAnsi="Arial" w:cs="Arial"/>
                <w:color w:val="0F243E" w:themeColor="text2" w:themeShade="80"/>
                <w:sz w:val="24"/>
                <w:szCs w:val="24"/>
                <w:lang w:val="es-ES" w:eastAsia="es-ES"/>
              </w:rPr>
              <w:t>, marcadores.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5F16E5" w:rsidP="00CC21F3">
            <w:pPr>
              <w:rPr>
                <w:rFonts w:ascii="Arial" w:hAnsi="Arial" w:cs="Arial"/>
                <w:b/>
                <w:color w:val="0F243E" w:themeColor="text2" w:themeShade="80"/>
              </w:rPr>
            </w:pPr>
            <w:r>
              <w:rPr>
                <w:rFonts w:ascii="Arial" w:hAnsi="Arial" w:cs="Arial"/>
                <w:color w:val="0F243E" w:themeColor="text2" w:themeShade="80"/>
              </w:rPr>
              <w:t xml:space="preserve">Software: Excel, </w:t>
            </w:r>
            <w:proofErr w:type="spellStart"/>
            <w:r>
              <w:rPr>
                <w:rFonts w:ascii="Arial" w:hAnsi="Arial" w:cs="Arial"/>
                <w:color w:val="0F243E" w:themeColor="text2" w:themeShade="80"/>
              </w:rPr>
              <w:t>Spss</w:t>
            </w:r>
            <w:proofErr w:type="spellEnd"/>
            <w:r>
              <w:rPr>
                <w:rFonts w:ascii="Arial" w:hAnsi="Arial" w:cs="Arial"/>
                <w:color w:val="0F243E" w:themeColor="text2" w:themeShade="80"/>
              </w:rPr>
              <w:t xml:space="preserve">, R Project. </w:t>
            </w:r>
            <w:proofErr w:type="spellStart"/>
            <w:r>
              <w:rPr>
                <w:rFonts w:ascii="Arial" w:hAnsi="Arial" w:cs="Arial"/>
                <w:color w:val="0F243E" w:themeColor="text2" w:themeShade="80"/>
              </w:rPr>
              <w:t>Bloomberg</w:t>
            </w:r>
            <w:proofErr w:type="spellEnd"/>
            <w:r>
              <w:rPr>
                <w:rFonts w:ascii="Arial" w:hAnsi="Arial" w:cs="Arial"/>
                <w:color w:val="0F243E" w:themeColor="text2" w:themeShade="80"/>
              </w:rPr>
              <w:t xml:space="preserve">, simuladores de mercado </w:t>
            </w:r>
            <w:proofErr w:type="spellStart"/>
            <w:r>
              <w:rPr>
                <w:rFonts w:ascii="Arial" w:hAnsi="Arial" w:cs="Arial"/>
                <w:color w:val="0F243E" w:themeColor="text2" w:themeShade="80"/>
              </w:rPr>
              <w:t>Forex</w:t>
            </w:r>
            <w:proofErr w:type="spellEnd"/>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233E2C" w:rsidP="00233E2C">
            <w:pPr>
              <w:rPr>
                <w:rFonts w:ascii="Arial" w:hAnsi="Arial" w:cs="Arial"/>
                <w:b/>
                <w:color w:val="0F243E" w:themeColor="text2" w:themeShade="80"/>
              </w:rPr>
            </w:pPr>
            <w:r w:rsidRPr="005F16E5">
              <w:rPr>
                <w:rFonts w:ascii="Arial" w:hAnsi="Arial" w:cs="Arial"/>
                <w:color w:val="0F243E" w:themeColor="text2" w:themeShade="80"/>
              </w:rPr>
              <w:t>Aula virtual</w:t>
            </w: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373F2F" w:rsidRPr="009D3B04" w:rsidRDefault="00373F2F" w:rsidP="005F16E5">
      <w:bookmarkStart w:id="0" w:name="_GoBack"/>
      <w:bookmarkEnd w:id="0"/>
    </w:p>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6EC" w:rsidRDefault="00DF66EC">
      <w:r>
        <w:separator/>
      </w:r>
    </w:p>
  </w:endnote>
  <w:endnote w:type="continuationSeparator" w:id="0">
    <w:p w:rsidR="00DF66EC" w:rsidRDefault="00DF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10D09" w:rsidP="00F60130">
                          <w:pPr>
                            <w:jc w:val="center"/>
                            <w:rPr>
                              <w:rFonts w:ascii="Myriad Pro" w:hAnsi="Myriad Pro"/>
                              <w:b/>
                              <w:sz w:val="16"/>
                              <w:szCs w:val="16"/>
                            </w:rPr>
                          </w:pPr>
                        </w:p>
                        <w:p w:rsidR="00133C1C" w:rsidRDefault="00010D0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10D09" w:rsidP="00F60130">
                    <w:pPr>
                      <w:jc w:val="center"/>
                      <w:rPr>
                        <w:rFonts w:ascii="Myriad Pro" w:hAnsi="Myriad Pro"/>
                        <w:b/>
                        <w:sz w:val="16"/>
                        <w:szCs w:val="16"/>
                      </w:rPr>
                    </w:pPr>
                  </w:p>
                  <w:p w:rsidR="00133C1C" w:rsidRDefault="00010D09"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6EC" w:rsidRDefault="00DF66EC">
      <w:r>
        <w:separator/>
      </w:r>
    </w:p>
  </w:footnote>
  <w:footnote w:type="continuationSeparator" w:id="0">
    <w:p w:rsidR="00DF66EC" w:rsidRDefault="00DF6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010D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10D09">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10D09">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10D09">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10D09">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010D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20BA"/>
    <w:multiLevelType w:val="hybridMultilevel"/>
    <w:tmpl w:val="00389EC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9472BEA"/>
    <w:multiLevelType w:val="hybridMultilevel"/>
    <w:tmpl w:val="E83C0C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ED467D0"/>
    <w:multiLevelType w:val="hybridMultilevel"/>
    <w:tmpl w:val="ED883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EE74A83"/>
    <w:multiLevelType w:val="hybridMultilevel"/>
    <w:tmpl w:val="ADA4DF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32A3C64"/>
    <w:multiLevelType w:val="hybridMultilevel"/>
    <w:tmpl w:val="1C821B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49237C2"/>
    <w:multiLevelType w:val="hybridMultilevel"/>
    <w:tmpl w:val="C13A5E62"/>
    <w:lvl w:ilvl="0" w:tplc="240A0001">
      <w:start w:val="1"/>
      <w:numFmt w:val="bullet"/>
      <w:lvlText w:val=""/>
      <w:lvlJc w:val="left"/>
      <w:pPr>
        <w:tabs>
          <w:tab w:val="num" w:pos="720"/>
        </w:tabs>
        <w:ind w:left="720" w:hanging="360"/>
      </w:pPr>
      <w:rPr>
        <w:rFonts w:ascii="Symbol" w:hAnsi="Symbol" w:hint="default"/>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2D145A1"/>
    <w:multiLevelType w:val="hybridMultilevel"/>
    <w:tmpl w:val="D6AAB4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B0B4E07"/>
    <w:multiLevelType w:val="hybridMultilevel"/>
    <w:tmpl w:val="620E38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6D7C7335"/>
    <w:multiLevelType w:val="hybridMultilevel"/>
    <w:tmpl w:val="F9143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0A96154"/>
    <w:multiLevelType w:val="hybridMultilevel"/>
    <w:tmpl w:val="3002102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7"/>
  </w:num>
  <w:num w:numId="6">
    <w:abstractNumId w:val="3"/>
  </w:num>
  <w:num w:numId="7">
    <w:abstractNumId w:val="8"/>
  </w:num>
  <w:num w:numId="8">
    <w:abstractNumId w:val="5"/>
  </w:num>
  <w:num w:numId="9">
    <w:abstractNumId w:val="9"/>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10D09"/>
    <w:rsid w:val="0008210C"/>
    <w:rsid w:val="001045BF"/>
    <w:rsid w:val="00163E32"/>
    <w:rsid w:val="0022469B"/>
    <w:rsid w:val="00233E2C"/>
    <w:rsid w:val="00236726"/>
    <w:rsid w:val="00244DD7"/>
    <w:rsid w:val="00310954"/>
    <w:rsid w:val="00364FEE"/>
    <w:rsid w:val="00373F2F"/>
    <w:rsid w:val="00401CA4"/>
    <w:rsid w:val="00431C34"/>
    <w:rsid w:val="00447FEA"/>
    <w:rsid w:val="004F4BE9"/>
    <w:rsid w:val="005307D9"/>
    <w:rsid w:val="005F16E5"/>
    <w:rsid w:val="00623E53"/>
    <w:rsid w:val="00632BC7"/>
    <w:rsid w:val="00637938"/>
    <w:rsid w:val="006834B5"/>
    <w:rsid w:val="007359FE"/>
    <w:rsid w:val="00776793"/>
    <w:rsid w:val="007A145E"/>
    <w:rsid w:val="007B7482"/>
    <w:rsid w:val="00833BAE"/>
    <w:rsid w:val="008F7297"/>
    <w:rsid w:val="009419DE"/>
    <w:rsid w:val="009A0A9A"/>
    <w:rsid w:val="009D3B04"/>
    <w:rsid w:val="00A0083B"/>
    <w:rsid w:val="00A728D1"/>
    <w:rsid w:val="00AA3BAE"/>
    <w:rsid w:val="00B03E07"/>
    <w:rsid w:val="00B202FE"/>
    <w:rsid w:val="00B3659A"/>
    <w:rsid w:val="00B87E5E"/>
    <w:rsid w:val="00C60373"/>
    <w:rsid w:val="00CC116E"/>
    <w:rsid w:val="00CD6BED"/>
    <w:rsid w:val="00D15C96"/>
    <w:rsid w:val="00D40E14"/>
    <w:rsid w:val="00D52CC4"/>
    <w:rsid w:val="00D70E88"/>
    <w:rsid w:val="00D97B5F"/>
    <w:rsid w:val="00DA67AC"/>
    <w:rsid w:val="00DE44CF"/>
    <w:rsid w:val="00DF66EC"/>
    <w:rsid w:val="00E50269"/>
    <w:rsid w:val="00E6617A"/>
    <w:rsid w:val="00E95107"/>
    <w:rsid w:val="00EA6EC3"/>
    <w:rsid w:val="00F02BE4"/>
    <w:rsid w:val="00F24899"/>
    <w:rsid w:val="00F26635"/>
    <w:rsid w:val="00F75B39"/>
    <w:rsid w:val="00FA1F96"/>
    <w:rsid w:val="00FE78E8"/>
    <w:rsid w:val="00FE7FF8"/>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6BC05026-7077-48CD-8595-7B0F9A1E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39578-FB39-4819-A575-D3187D98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1094</Words>
  <Characters>6023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2015-10-21T23:44:00Z</dcterms:created>
  <dcterms:modified xsi:type="dcterms:W3CDTF">2015-10-25T17:47:00Z</dcterms:modified>
</cp:coreProperties>
</file>